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444" w:beforeAutospacing="0" w:before="0" w:afterAutospacing="0" w:after="0"/>
        <w:textAlignment w:val="baseline"/>
        <w:rPr>
          <w:rFonts w:ascii="inherit" w:hAnsi="inherit" w:cs="Tahoma"/>
          <w:color w:val="0C0C0F"/>
          <w:sz w:val="27"/>
          <w:szCs w:val="27"/>
        </w:rPr>
      </w:pPr>
      <w:r>
        <w:rPr>
          <w:rStyle w:val="Strong"/>
          <w:rFonts w:cs="Tahoma" w:ascii="inherit" w:hAnsi="inherit"/>
          <w:color w:val="0C0C0F"/>
          <w:sz w:val="27"/>
          <w:szCs w:val="27"/>
        </w:rPr>
        <w:t>Art. 80 del D. Lgs. 50/2016.</w:t>
      </w:r>
    </w:p>
    <w:p>
      <w:pPr>
        <w:pStyle w:val="NormalWeb"/>
        <w:shd w:val="clear" w:color="auto" w:fill="FFFFFF"/>
        <w:spacing w:lineRule="atLeast" w:line="444" w:beforeAutospacing="0" w:before="0" w:afterAutospacing="0" w:after="0"/>
        <w:textAlignment w:val="baseline"/>
        <w:rPr>
          <w:rStyle w:val="Strong"/>
          <w:rFonts w:ascii="inherit" w:hAnsi="inherit" w:cs="Tahoma"/>
          <w:color w:val="0C0C0F"/>
          <w:sz w:val="27"/>
          <w:szCs w:val="27"/>
        </w:rPr>
      </w:pPr>
      <w:r>
        <w:rPr>
          <w:rStyle w:val="Strong"/>
          <w:rFonts w:cs="Tahoma" w:ascii="inherit" w:hAnsi="inherit"/>
          <w:color w:val="0C0C0F"/>
          <w:sz w:val="27"/>
          <w:szCs w:val="27"/>
        </w:rPr>
        <w:t xml:space="preserve">Motivi di esclusione </w:t>
      </w:r>
    </w:p>
    <w:p>
      <w:pPr>
        <w:pStyle w:val="NormalWeb"/>
        <w:shd w:val="clear" w:color="auto" w:fill="FFFFFF"/>
        <w:spacing w:lineRule="atLeast" w:line="444" w:beforeAutospacing="0" w:before="0" w:afterAutospacing="0" w:after="0"/>
        <w:textAlignment w:val="baseline"/>
        <w:rPr>
          <w:rFonts w:ascii="inherit" w:hAnsi="inherit" w:cs="Tahoma"/>
          <w:color w:val="0C0C0F"/>
          <w:sz w:val="27"/>
          <w:szCs w:val="27"/>
        </w:rPr>
      </w:pPr>
      <w:r>
        <w:rPr>
          <w:rStyle w:val="Strong"/>
          <w:rFonts w:cs="Tahoma" w:ascii="inherit" w:hAnsi="inherit"/>
          <w:color w:val="0C0C0F"/>
          <w:sz w:val="27"/>
          <w:szCs w:val="27"/>
        </w:rPr>
        <w:t>(la ditta dovrà sottoscrivere ogni pagina)</w:t>
      </w:r>
      <w:r>
        <w:rPr>
          <w:rFonts w:cs="Tahoma" w:ascii="inherit" w:hAnsi="inherit"/>
          <w:color w:val="0C0C0F"/>
          <w:sz w:val="27"/>
          <w:szCs w:val="27"/>
        </w:rPr>
        <w:br/>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b) delitti, consumati o tentati, di cui agli articoli 317, 318, 319, 319-ter, 319-quater, 320, 321, 322, 322-bis, 346-bis, 353, 353-bis, 354, 355 e 356 del codice penale nonché all'articolo 2635 del codice civile;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b-bis) false comunicazioni sociali di cui agli articoli 2621 e 2622 del codice civile;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c) frode ai sensi dell'articolo 1 della convenzione relativa alla tutela degli interessi finanziari delle Comunità europee;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d) delitti, consumati o tentati, commessi con finalità di terrorismo, anche internazionale, e di eversione dell'ordine costituzionale reati terroristici o reati connessi alle attività terroristiche;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e) delitti di cui agli articoli 648-bis, 648-ter e 648-ter.1 del codice penale, riciclaggio di proventi di attività criminose o finanziamento del terrorismo, quali definiti all'articolo 1 del decreto legislativo 22 giugno 2007, n. 109 e successive modificazioni;</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f) sfruttamento del lavoro minorile e altre forme di tratta di esseri umani definite con il decreto legislativo 4 marzo 2014, n. 24;</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g) ogni altro delitto da cui derivi, quale pena accessoria, l'incapacità di contrattare con la pubblica amministrazione.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5. Le stazioni appaltanti escludono dalla partecipazione alla procedura d'appalto un operatore economico in una delle seguenti situazioni, anche riferita a un suo subappaltatore nei casi di cui all'articolo 105, comma 6, qualora: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a) la stazione appaltante possa dimostrare con qualunque mezzo adeguato la presenza di gravi infrazioni debitamente accertate alle norme in materia di salute e sicurezza sul lavoro nonché agli obblighi di cui all'articolo 30, comma 3 del presente codice;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b) l'operatore economico sia stato sottoposto a fallimento o si trovi in stato di liquidazione coatta o di concordato preventivo o sia in corso nei suoi confronti un procedimento per la dichiarazione di una di tali situazioni, fermo restando quanto previsto dall'articolo 110 del presente codice e dall'articolo 186-bis del regio decreto 16 marzo 1942, n. 267; (2)</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c) la stazione appaltante dimostri con mezzi adeguati che l'operatore economico si è reso colpevole di gravi illeciti professionali, tali da rendere dubbia la sua integrità o affidabilità;</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c-quater) l'operatore economico abbia commesso grave inadempimento nei confronti di uno o più subappaltatori, riconosciuto o accertato con sentenza passata in giudicato;</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d) la partecipazione dell'operatore economico determini una situazione di conflitto di interesse ai sensi dell'articolo 42, comma 2, non diversamente risolvibile;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e) una distorsione della concorrenza derivante dal precedente coinvolgimento degli operatori economici nella preparazione della procedura d'appalto di cui all'articolo 67 non possa essere risolta con misure meno intrusive;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f-bis) l'operatore economico che presenti nella procedura di gara in corso e negli affidamenti di subappalti documentazione o dichiarazioni non veritiere;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i) l'operatore economico non presenti la certificazione di cui all'articolo 17 della legge 12 marzo 1999, n. 68, ovvero non autocertifichi la sussistenza del medesimo requisito;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8. Se la stazione appaltante ritiene che le misure di cui al comma 7 sono sufficienti, l'operatore economico non è escluso della procedura d'appalto; viceversa dell'esclusione viene data motivata comunicazione all'operatore economico.</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9. Un operatore economico escluso con sentenza definitiva dalla partecipazione alle procedure di appalto non può avvalersi della possibilità prevista dai commi 7 e 8 nel corso del periodo di esclusione derivante da tale sentenza.</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10. Se la sentenza penale di condanna definitiva non fissa la durata della pena accessoria della incapacità di contrattare con la pubblica amministrazione, la durata della esclusione dalla procedura d'appalto o concessione è:</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a) perpetua, nei casi in cui alla condanna consegue di diritto la pena accessoria perpetua, ai sensi dell'articolo 317-bis, primo periodo, del codice penale, salvo che la pena sia dichiarata estinta ai sensi dell'articolo 179, settimo comma, del codice penale;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b) pari a sette anni nei casi previsti dall'articolo 317-bis, secondo periodo, del codice penale, salvo che sia intervenuta riabilitazione;</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c) pari a cinque anni nei casi diversi da quelli di cui alle lettere a) e b), salvo che sia intervenuta riabilitazione.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14. Non possono essere affidatari di subappalti e non possono stipulare i relativi contratti i soggetti per i quali ricorrano i motivi di esclusione previsti dal presente articolo.</w:t>
      </w:r>
    </w:p>
    <w:p>
      <w:pPr>
        <w:pStyle w:val="NormalWeb"/>
        <w:shd w:val="clear" w:color="auto" w:fill="FFFFFF"/>
        <w:spacing w:lineRule="atLeast" w:line="444" w:beforeAutospacing="0" w:before="0" w:afterAutospacing="0" w:after="0"/>
        <w:textAlignment w:val="baseline"/>
        <w:rPr>
          <w:rFonts w:ascii="inherit" w:hAnsi="inherit" w:cs="Tahoma"/>
          <w:color w:val="0C0C0F"/>
          <w:sz w:val="27"/>
          <w:szCs w:val="27"/>
        </w:rPr>
      </w:pPr>
      <w:r>
        <w:rPr>
          <w:rFonts w:cs="Tahoma" w:ascii="inherit" w:hAnsi="inherit"/>
          <w:color w:val="0C0C0F"/>
          <w:sz w:val="27"/>
          <w:szCs w:val="27"/>
        </w:rPr>
        <w:t>(1) Articolo così modificato dal D.L. 18 aprile 2019, n. 32, convertito, con modificazioni, dalla L. 14 giugno 2019, n. 55. </w:t>
        <w:br/>
        <w:br/>
        <w:t>(2) Lettera così sostituita dall’ art. 1, comma 20, lett. o), n. 3), </w:t>
      </w:r>
      <w:hyperlink r:id="rId2">
        <w:r>
          <w:rPr>
            <w:rStyle w:val="CollegamentoInternet"/>
            <w:rFonts w:cs="Tahoma" w:ascii="inherit" w:hAnsi="inherit"/>
            <w:color w:val="1E5192"/>
            <w:sz w:val="27"/>
            <w:szCs w:val="27"/>
            <w:u w:val="none"/>
          </w:rPr>
          <w:t>D.L. 18 aprile 2019, n. 32</w:t>
        </w:r>
      </w:hyperlink>
      <w:r>
        <w:rPr>
          <w:rFonts w:cs="Tahoma" w:ascii="inherit" w:hAnsi="inherit"/>
          <w:color w:val="0C0C0F"/>
          <w:sz w:val="27"/>
          <w:szCs w:val="27"/>
        </w:rPr>
        <w:t>, convertito, con modificazioni, dalla L. 14 giugno 2019, n. 55; per l’applicabilità di tale disposizione vedi l’ art. 1, comma 21, del medesimo D.L. n. 32/2019.</w:t>
      </w:r>
    </w:p>
    <w:p>
      <w:pPr>
        <w:pStyle w:val="NormalWeb"/>
        <w:shd w:val="clear" w:color="auto" w:fill="FFFFFF"/>
        <w:spacing w:lineRule="atLeast" w:line="444" w:beforeAutospacing="0" w:before="0" w:afterAutospacing="0" w:after="222"/>
        <w:textAlignment w:val="baseline"/>
        <w:rPr>
          <w:rFonts w:ascii="inherit" w:hAnsi="inherit" w:cs="Tahoma"/>
          <w:color w:val="0C0C0F"/>
          <w:sz w:val="27"/>
          <w:szCs w:val="27"/>
        </w:rPr>
      </w:pPr>
      <w:r>
        <w:rPr>
          <w:rFonts w:cs="Tahoma" w:ascii="inherit" w:hAnsi="inherit"/>
          <w:color w:val="0C0C0F"/>
          <w:sz w:val="27"/>
          <w:szCs w:val="27"/>
        </w:rPr>
        <w:t> </w:t>
      </w:r>
      <w:r>
        <w:rPr>
          <w:rFonts w:cs="Tahoma" w:ascii="inherit" w:hAnsi="inherit"/>
          <w:color w:val="0C0C0F"/>
          <w:sz w:val="27"/>
          <w:szCs w:val="27"/>
        </w:rPr>
        <w:t>______________</w:t>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inherit">
    <w:charset w:val="00"/>
    <w:family w:val="roman"/>
    <w:pitch w:val="variable"/>
  </w:font>
</w:fonts>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186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51864"/>
    <w:rPr>
      <w:b/>
      <w:bCs/>
    </w:rPr>
  </w:style>
  <w:style w:type="character" w:styleId="CollegamentoInternet">
    <w:name w:val="Collegamento Internet"/>
    <w:basedOn w:val="DefaultParagraphFont"/>
    <w:uiPriority w:val="99"/>
    <w:semiHidden/>
    <w:unhideWhenUsed/>
    <w:rsid w:val="00051864"/>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semiHidden/>
    <w:unhideWhenUsed/>
    <w:qFormat/>
    <w:rsid w:val="00051864"/>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ltalex.com/documents/leggi/2019/04/19/sblocca-cantieri"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LibreOffice/7.0.4.2$Windows_X86_64 LibreOffice_project/dcf040e67528d9187c66b2379df5ea4407429775</Application>
  <AppVersion>15.0000</AppVersion>
  <Pages>2</Pages>
  <Words>2443</Words>
  <Characters>13974</Characters>
  <CharactersWithSpaces>16387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2021-11-05T10:17:00Z</dcterms:created>
  <dc:creator>Antonino Lombardo</dc:creator>
  <dc:description/>
  <dc:language>it-IT</dc:language>
  <cp:lastModifiedBy>aartale</cp:lastModifiedBy>
  <dcterms:modified xsi:type="dcterms:W3CDTF">2021-11-05T10:17:00Z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